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A7F" w:rsidRPr="00537AD5" w:rsidRDefault="00A30A7F" w:rsidP="00A30A7F">
      <w:pPr>
        <w:pStyle w:val="Heading1"/>
        <w:spacing w:before="120" w:after="120" w:line="360" w:lineRule="auto"/>
        <w:jc w:val="both"/>
        <w:rPr>
          <w:rFonts w:ascii="Times New Roman" w:hAnsi="Times New Roman" w:cs="Times New Roman"/>
          <w:b w:val="0"/>
          <w:color w:val="auto"/>
          <w:spacing w:val="-6"/>
          <w:sz w:val="24"/>
          <w:szCs w:val="24"/>
          <w:lang w:val="pt-BR"/>
        </w:rPr>
      </w:pPr>
      <w:r w:rsidRPr="00537AD5">
        <w:rPr>
          <w:rFonts w:ascii="Times New Roman" w:hAnsi="Times New Roman" w:cs="Times New Roman"/>
          <w:color w:val="auto"/>
          <w:spacing w:val="-6"/>
          <w:sz w:val="24"/>
          <w:szCs w:val="24"/>
          <w:lang w:val="pt-BR"/>
        </w:rPr>
        <w:t xml:space="preserve">HÌNH THỨC NGỮ PHÁP </w:t>
      </w:r>
      <w:r w:rsidRPr="00537AD5">
        <w:rPr>
          <w:rFonts w:ascii="Times New Roman" w:hAnsi="Times New Roman" w:cs="Times New Roman"/>
          <w:color w:val="auto"/>
          <w:spacing w:val="-6"/>
          <w:lang w:val="pt-BR"/>
        </w:rPr>
        <w:t>(Grammatical Form)</w:t>
      </w:r>
      <w:r w:rsidRPr="00537AD5">
        <w:rPr>
          <w:rFonts w:ascii="Times New Roman" w:hAnsi="Times New Roman" w:cs="Times New Roman"/>
          <w:b w:val="0"/>
          <w:color w:val="auto"/>
          <w:spacing w:val="-6"/>
          <w:lang w:val="pt-BR"/>
        </w:rPr>
        <w:t xml:space="preserve">, </w:t>
      </w:r>
      <w:r w:rsidRPr="00537AD5">
        <w:rPr>
          <w:rFonts w:ascii="Times New Roman" w:hAnsi="Times New Roman" w:cs="Times New Roman"/>
          <w:b w:val="0"/>
          <w:color w:val="auto"/>
          <w:spacing w:val="-6"/>
          <w:lang w:val="pt-BR" w:eastAsia="zh-CN"/>
        </w:rPr>
        <w:t>phương tiện hay kí hiệu ngôn ngữ trong đ</w:t>
      </w:r>
      <w:r w:rsidRPr="00537AD5">
        <w:rPr>
          <w:rFonts w:ascii="Times New Roman" w:eastAsia="SimSun" w:hAnsi="Times New Roman" w:cs="Times New Roman"/>
          <w:b w:val="0"/>
          <w:color w:val="auto"/>
          <w:spacing w:val="-6"/>
          <w:lang w:val="pt-BR" w:eastAsia="zh-CN"/>
        </w:rPr>
        <w:t>ó</w:t>
      </w:r>
      <w:r w:rsidRPr="00537AD5">
        <w:rPr>
          <w:rFonts w:ascii="Times New Roman" w:hAnsi="Times New Roman" w:cs="Times New Roman"/>
          <w:b w:val="0"/>
          <w:color w:val="auto"/>
          <w:spacing w:val="-6"/>
          <w:lang w:val="pt-BR" w:eastAsia="zh-CN"/>
        </w:rPr>
        <w:t xml:space="preserve"> </w:t>
      </w:r>
      <w:r w:rsidRPr="00537AD5">
        <w:rPr>
          <w:rFonts w:ascii="Times New Roman" w:eastAsia="SimSun" w:hAnsi="Times New Roman" w:cs="Times New Roman"/>
          <w:b w:val="0"/>
          <w:color w:val="auto"/>
          <w:spacing w:val="-6"/>
          <w:lang w:val="pt-BR" w:eastAsia="zh-CN"/>
        </w:rPr>
        <w:t>ý</w:t>
      </w:r>
      <w:r w:rsidRPr="00537AD5">
        <w:rPr>
          <w:rFonts w:ascii="Times New Roman" w:hAnsi="Times New Roman" w:cs="Times New Roman"/>
          <w:b w:val="0"/>
          <w:color w:val="auto"/>
          <w:spacing w:val="-6"/>
          <w:lang w:val="pt-BR" w:eastAsia="zh-CN"/>
        </w:rPr>
        <w:t xml:space="preserve"> nghĩa ngữ pháp được hàm chứa và được biểu thị. Trong ngôn ngữ học, HTNP thường được xếp vào bình diện biểu đạt, (bình diện vật chất) của tín hiệu ngôn ngữ và được phân biệt với bình diện nội dung (bình diện ngữ nghĩa) của tín hiệu ngôn ngữ. Các yếu tố của HTNP rất phong phú, đa dạng. Đó có thể là các phụ tố (kể cả phụ tố zero, tức là phụ tố không được biểu hiện về mặt vật chất), biến đổi trong căn tố, thay thế căn tố, trọng âm, lặp, trật tự từ, hư từ, ngữ điệu.  </w:t>
      </w:r>
    </w:p>
    <w:p w:rsidR="00A30A7F" w:rsidRPr="00537AD5" w:rsidRDefault="00A30A7F" w:rsidP="00A30A7F">
      <w:pPr>
        <w:spacing w:before="120" w:after="120" w:line="360" w:lineRule="auto"/>
        <w:ind w:firstLine="567"/>
        <w:jc w:val="both"/>
        <w:rPr>
          <w:rFonts w:eastAsiaTheme="majorEastAsia"/>
          <w:spacing w:val="-6"/>
          <w:lang w:val="pt-BR" w:eastAsia="zh-CN"/>
        </w:rPr>
      </w:pPr>
      <w:r w:rsidRPr="00537AD5">
        <w:rPr>
          <w:rFonts w:eastAsiaTheme="majorEastAsia"/>
          <w:spacing w:val="-6"/>
          <w:lang w:val="pt-BR" w:eastAsia="zh-CN"/>
        </w:rPr>
        <w:t>HTNP trong các ngôn ngữ khác nhau, nhất là trong các ngôn ngữ khác loại hình, thường rất khác nhau. Trong các ngôn ngữ biến tố (các ngôn ngữ mà từ có sự biến đổi hình thái) như tiếng Anh, tiếng Nga, tiếng Pháp, tiếng Đức, các HTNP chủ yếu được sử dụng là phụ tố, biến đổi căn tố, thay thế căn tố, trọng âm. Với việc sử dụng các HTNP trên đây, ở các ngôn ngữ này, HTNP nằm ngay trong thành phần cấu tạo của từ. Ở các ngôn ngữ biến tố, một từ có thể có nhiều HTNP ứng với các ý nghĩa ngữ pháp thuộc các phạm trù ngữ pháp khác nhau. Toàn bộ các HTNP có thể có của một từ tạo thành hệ biến hóa hình thái (hệ hình) của từ đó. Chẳng hạn, từ книгa trong tiếng Nga bao gồm hai bộ phận là căn tố книг biểu thị ý nghĩa từ vựng (sách) và phụ tố a biểu thị các ý nghĩa ngữ pháp: giống cái, cách 1 (chủ cách), số ít. Hệ hình của từ này gồm các hình thức mà tương ứng với chúng là các ý nghĩa ngữ pháp (trong đó ý nghĩa giống chung cho tất cả các hình thức): книгa (số ít, chủ cách), кнuги (số nhiều, chủ cách, tân cách hoặc số ít, sinh cách), книге (số ít, tặng cách hoặc số ít, giới cách), книгу (số ít, tân cách), книгой (số ít, công cụ cách) книг (số nhiều, sinh cách), книгaм (số nhiều, tặng cách) книгaмu (số nhiều, công cụ cách), книгaх (số nhiều, giới cách).</w:t>
      </w:r>
    </w:p>
    <w:p w:rsidR="00A30A7F" w:rsidRPr="00537AD5" w:rsidRDefault="00A30A7F" w:rsidP="00A30A7F">
      <w:pPr>
        <w:spacing w:before="120" w:after="120" w:line="360" w:lineRule="auto"/>
        <w:ind w:firstLine="567"/>
        <w:jc w:val="both"/>
        <w:rPr>
          <w:rFonts w:eastAsiaTheme="majorEastAsia"/>
          <w:lang w:val="pt-BR" w:eastAsia="zh-CN"/>
        </w:rPr>
      </w:pPr>
      <w:r w:rsidRPr="00537AD5">
        <w:rPr>
          <w:rFonts w:eastAsiaTheme="majorEastAsia"/>
          <w:lang w:val="pt-BR" w:eastAsia="zh-CN"/>
        </w:rPr>
        <w:t xml:space="preserve">Như có thể thấy qua các ví dụ trên đây, HTNP của từ có thể được biểu hiện tích cực (ở dạng vật chất cụ thể) nhưng cũng có thể được biểu hiện tiêu cực (không được biểu hiện ở dạng vật chất cụ thể). Chẳng hạn, ở hình thức книг, ý nghĩa ngữ pháp (số nhiều, sinh cách) thuộc về phụ tố ở sau книг không được biểu hiện ở dạng vật chất cụ thể. Sự vắng mặt của dạng biểu hiện vật chất của phụ tố ở sau книг đối lập với sự có mặt của dạng biểu hiện vật chất khác trong hệ hình; do đó, </w:t>
      </w:r>
      <w:r w:rsidRPr="00537AD5">
        <w:rPr>
          <w:rFonts w:eastAsiaTheme="majorEastAsia"/>
          <w:lang w:val="pt-BR" w:eastAsia="zh-CN"/>
        </w:rPr>
        <w:lastRenderedPageBreak/>
        <w:t>nó cũng có chức năng biểu thị ý nghĩa ngữ pháp (ý nghĩa số nhiều, giống cái, sinh cách). Là phương tiện biểu thị ý nghĩa ngữ pháp, HTNP có mối quan hệ mật thiết với ý nghĩa ngữ pháp. Tuy nhiên, sự tương ứng giữa hai mặt này không phải luôn luôn là 1/1. Trên thực tế, do tính tiết kiệm của ngôn ngữ, một HTNP có thể tương ứng với nhiều ý nghĩa ngữ pháp khác nhau. Chẳng hạn, ở hình thức từ книгa trong tiếng Nga, phụ tố có hình thức biểu hiện là a tương ứng với các ý nghĩa ngữ pháp: giống cái, số ít, chủ cách (cách 1), còn ở hình thức книгaм, phụ tố có hình thức aм tương ứng với các ý nghĩa ngữ pháp: giống cái, số nhiều, tặng cách (cách 3).</w:t>
      </w:r>
    </w:p>
    <w:p w:rsidR="00A30A7F" w:rsidRPr="00537AD5" w:rsidRDefault="00A30A7F" w:rsidP="00A30A7F">
      <w:pPr>
        <w:spacing w:before="120" w:after="120" w:line="360" w:lineRule="auto"/>
        <w:ind w:firstLine="567"/>
        <w:jc w:val="both"/>
        <w:rPr>
          <w:rFonts w:eastAsiaTheme="majorEastAsia"/>
          <w:lang w:val="pt-BR" w:eastAsia="zh-CN"/>
        </w:rPr>
      </w:pPr>
      <w:r w:rsidRPr="00537AD5">
        <w:rPr>
          <w:rFonts w:eastAsiaTheme="majorEastAsia"/>
          <w:lang w:val="pt-BR" w:eastAsia="zh-CN"/>
        </w:rPr>
        <w:t xml:space="preserve">Nói về sự khác biệt giữa HTNP trong ngôn ngữ biến tố và ngôn ngữ đơn lập, một số nhà nghiên cứu đã đề cập đến sự phân biệt hình thái tổng hợp tính và hình thái phân tích tính. Hình thái tổng hợp tính là hình thái trong đó ý nghĩa từ vựng và ý nghĩa ngữ pháp cùng được thể hiện trong thành phần cấu tạo của một từ (một hình thức từ - словoфoрмa). Ở hình thái tổng hợp tính, các HTNP được sử dụng là phụ tố, biến đổi trong căn tố, thay đổi căn tố, trọng âm. Hình thái phân tích là hình thái trong đó ý nghĩa ngữ pháp được biểu thị bằng phương tiện ở bên ngoài từ (trật tự từ, hư từ, ngữ điệu). Sự phân biệt trên đây là có cơ sở. Tuy nhiên, cần thấy rằng mặc dù hình thái tổng hợp tính đặc trưng cho các ngôn ngữ biến tố nhưng trong các ngôn ngữ này vẫn tồn tại hình thái phân tích tính. Chẳng hạn, ở tiếng Nga, trong khi các ý nghĩa thời hiện tại, thời quá khứ của động từ chưa hoàn thành được diễn đạt bằng hình thái tổng hợp tính (ví dụ: Я чumaю - Tôi đang đọc. Я чumaл - Tôi đã đọc) thì ý nghĩa thời tương lai lại được diễn đạt bằng hình thái phân tích tính nhờ sự hỗ trợ của trợ động từ быmь  (Я буду чumamь - Tôi sẽ đọc). Ngoài ra, trong một số trường hợp, ý nghĩa cách của danh từ trong tiếng Nga được biểu thị bằng sự kết hợp giữa phụ tố (thuộc hình thái tổng hợp tính) và trật tự từ (thuộc hình thái phân tích tính). So sánh: (1) Маmь любиm дочь. (Mẹ yêu con gái.), (2) Дочь любиm маmь. (Con gái yêu mẹ.). Trong những câu vừa dẫn, ý nghĩa chủ cách (cách 1) và ý nghĩa tân cách (cách 4) của các danh từ (маmь, </w:t>
      </w:r>
      <w:r w:rsidRPr="00537AD5">
        <w:rPr>
          <w:rFonts w:eastAsiaTheme="majorEastAsia"/>
          <w:lang w:val="pt-BR" w:eastAsia="zh-CN"/>
        </w:rPr>
        <w:lastRenderedPageBreak/>
        <w:t>дочь) được biểu thị nhờ sự kết hợp giữa phụ tố và trật tự từ (sự thay đổi trật tự từ gắn  với sự thay đổi về ý nghĩa và chức năng cú pháp của từ).</w:t>
      </w:r>
    </w:p>
    <w:p w:rsidR="00A30A7F" w:rsidRPr="00537AD5" w:rsidRDefault="00A30A7F" w:rsidP="00A30A7F">
      <w:pPr>
        <w:spacing w:line="360" w:lineRule="auto"/>
        <w:ind w:firstLine="567"/>
        <w:jc w:val="right"/>
        <w:rPr>
          <w:rFonts w:eastAsiaTheme="majorEastAsia"/>
          <w:b/>
          <w:bCs/>
          <w:sz w:val="20"/>
          <w:szCs w:val="20"/>
          <w:lang w:val="pt-BR" w:eastAsia="zh-CN"/>
        </w:rPr>
      </w:pPr>
      <w:r w:rsidRPr="00537AD5">
        <w:rPr>
          <w:rFonts w:eastAsiaTheme="majorEastAsia"/>
          <w:b/>
          <w:bCs/>
          <w:sz w:val="20"/>
          <w:szCs w:val="20"/>
          <w:lang w:val="pt-BR" w:eastAsia="zh-CN"/>
        </w:rPr>
        <w:t>NGUYỄN VĂN LỘC</w:t>
      </w:r>
    </w:p>
    <w:p w:rsidR="00A30A7F" w:rsidRPr="00537AD5" w:rsidRDefault="00A30A7F" w:rsidP="00A30A7F">
      <w:pPr>
        <w:spacing w:line="360" w:lineRule="auto"/>
        <w:rPr>
          <w:rFonts w:eastAsiaTheme="majorEastAsia"/>
          <w:b/>
          <w:sz w:val="24"/>
          <w:szCs w:val="24"/>
          <w:lang w:val="ru-RU"/>
        </w:rPr>
      </w:pPr>
      <w:r w:rsidRPr="00537AD5">
        <w:rPr>
          <w:rFonts w:eastAsiaTheme="majorEastAsia"/>
          <w:b/>
          <w:sz w:val="24"/>
          <w:szCs w:val="24"/>
          <w:lang w:val="pt-BR"/>
        </w:rPr>
        <w:t>T</w:t>
      </w:r>
      <w:r w:rsidRPr="00537AD5">
        <w:rPr>
          <w:rFonts w:eastAsiaTheme="majorEastAsia"/>
          <w:b/>
          <w:sz w:val="24"/>
          <w:szCs w:val="24"/>
          <w:lang w:val="ru-RU"/>
        </w:rPr>
        <w:t>à</w:t>
      </w:r>
      <w:r w:rsidRPr="00537AD5">
        <w:rPr>
          <w:rFonts w:eastAsiaTheme="majorEastAsia"/>
          <w:b/>
          <w:sz w:val="24"/>
          <w:szCs w:val="24"/>
          <w:lang w:val="pt-BR"/>
        </w:rPr>
        <w:t>i</w:t>
      </w:r>
      <w:r w:rsidRPr="00537AD5">
        <w:rPr>
          <w:rFonts w:eastAsiaTheme="majorEastAsia"/>
          <w:b/>
          <w:sz w:val="24"/>
          <w:szCs w:val="24"/>
          <w:lang w:val="ru-RU"/>
        </w:rPr>
        <w:t xml:space="preserve"> </w:t>
      </w:r>
      <w:r w:rsidRPr="00537AD5">
        <w:rPr>
          <w:rFonts w:eastAsiaTheme="majorEastAsia"/>
          <w:b/>
          <w:sz w:val="24"/>
          <w:szCs w:val="24"/>
          <w:lang w:val="pt-BR"/>
        </w:rPr>
        <w:t>liệu</w:t>
      </w:r>
      <w:r w:rsidRPr="00537AD5">
        <w:rPr>
          <w:rFonts w:eastAsiaTheme="majorEastAsia"/>
          <w:b/>
          <w:sz w:val="24"/>
          <w:szCs w:val="24"/>
          <w:lang w:val="ru-RU"/>
        </w:rPr>
        <w:t xml:space="preserve"> </w:t>
      </w:r>
      <w:r w:rsidRPr="00537AD5">
        <w:rPr>
          <w:rFonts w:eastAsiaTheme="majorEastAsia"/>
          <w:b/>
          <w:sz w:val="24"/>
          <w:szCs w:val="24"/>
          <w:lang w:val="pt-BR"/>
        </w:rPr>
        <w:t>tham</w:t>
      </w:r>
      <w:r w:rsidRPr="00537AD5">
        <w:rPr>
          <w:rFonts w:eastAsiaTheme="majorEastAsia"/>
          <w:b/>
          <w:sz w:val="24"/>
          <w:szCs w:val="24"/>
          <w:lang w:val="ru-RU"/>
        </w:rPr>
        <w:t xml:space="preserve"> </w:t>
      </w:r>
      <w:r w:rsidRPr="00537AD5">
        <w:rPr>
          <w:rFonts w:eastAsiaTheme="majorEastAsia"/>
          <w:b/>
          <w:sz w:val="24"/>
          <w:szCs w:val="24"/>
          <w:lang w:val="pt-BR"/>
        </w:rPr>
        <w:t>khảo</w:t>
      </w:r>
    </w:p>
    <w:p w:rsidR="00A30A7F" w:rsidRPr="00537AD5" w:rsidRDefault="00A30A7F" w:rsidP="00A30A7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1. Nguyễn Như Ý, </w:t>
      </w:r>
      <w:r w:rsidRPr="00537AD5">
        <w:rPr>
          <w:rFonts w:ascii="Times New Roman" w:eastAsiaTheme="majorEastAsia" w:hAnsi="Times New Roman"/>
          <w:i/>
          <w:sz w:val="24"/>
          <w:szCs w:val="24"/>
          <w:lang w:val="pt-BR"/>
        </w:rPr>
        <w:t>Từ điển giải thích thuật ngữ ngôn ngữ học</w:t>
      </w:r>
      <w:r w:rsidRPr="00537AD5">
        <w:rPr>
          <w:rFonts w:ascii="Times New Roman" w:eastAsiaTheme="majorEastAsia" w:hAnsi="Times New Roman"/>
          <w:sz w:val="24"/>
          <w:szCs w:val="24"/>
          <w:lang w:val="pt-BR"/>
        </w:rPr>
        <w:t xml:space="preserve">, Nxb Giáo dục, Hà Nội, 1997. </w:t>
      </w:r>
    </w:p>
    <w:p w:rsidR="00A30A7F" w:rsidRPr="00537AD5" w:rsidRDefault="00A30A7F" w:rsidP="00A30A7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2. Đỗ Hữu Châu, Bùi Minh Toán, </w:t>
      </w:r>
      <w:r w:rsidRPr="00537AD5">
        <w:rPr>
          <w:rFonts w:ascii="Times New Roman" w:eastAsiaTheme="majorEastAsia" w:hAnsi="Times New Roman"/>
          <w:i/>
          <w:sz w:val="24"/>
          <w:szCs w:val="24"/>
          <w:lang w:val="pt-BR"/>
        </w:rPr>
        <w:t xml:space="preserve">Đại cương ngôn ngữ học, </w:t>
      </w:r>
      <w:r w:rsidRPr="00537AD5">
        <w:rPr>
          <w:rFonts w:ascii="Times New Roman" w:eastAsiaTheme="majorEastAsia" w:hAnsi="Times New Roman"/>
          <w:sz w:val="24"/>
          <w:szCs w:val="24"/>
          <w:lang w:val="pt-BR"/>
        </w:rPr>
        <w:t xml:space="preserve">tập 1, Nxb Giáo dục, Hà Nội, 2003. </w:t>
      </w:r>
    </w:p>
    <w:p w:rsidR="00A30A7F" w:rsidRPr="00537AD5" w:rsidRDefault="00A30A7F" w:rsidP="00A30A7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3. Nguyễn Thiện Giáp (chủ biên), </w:t>
      </w:r>
      <w:r w:rsidRPr="00537AD5">
        <w:rPr>
          <w:rFonts w:ascii="Times New Roman" w:eastAsiaTheme="majorEastAsia" w:hAnsi="Times New Roman"/>
          <w:i/>
          <w:sz w:val="24"/>
          <w:szCs w:val="24"/>
          <w:lang w:val="pt-BR"/>
        </w:rPr>
        <w:t>Dẫn luận ngôn ngữ học</w:t>
      </w:r>
      <w:r w:rsidRPr="00537AD5">
        <w:rPr>
          <w:rFonts w:ascii="Times New Roman" w:eastAsiaTheme="majorEastAsia" w:hAnsi="Times New Roman"/>
          <w:sz w:val="24"/>
          <w:szCs w:val="24"/>
          <w:lang w:val="pt-BR"/>
        </w:rPr>
        <w:t>, Nxb Đại học Quốc gia Hà Nội, Hà Nội, 2004.</w:t>
      </w:r>
    </w:p>
    <w:p w:rsidR="00A30A7F" w:rsidRPr="00537AD5" w:rsidRDefault="00A30A7F" w:rsidP="00A30A7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4. Diệp Quang Ban, </w:t>
      </w:r>
      <w:r w:rsidRPr="00537AD5">
        <w:rPr>
          <w:rFonts w:ascii="Times New Roman" w:eastAsiaTheme="majorEastAsia" w:hAnsi="Times New Roman"/>
          <w:i/>
          <w:sz w:val="24"/>
          <w:szCs w:val="24"/>
          <w:lang w:val="pt-BR"/>
        </w:rPr>
        <w:t>Ngữ pháp tiếng Việt</w:t>
      </w:r>
      <w:r w:rsidRPr="00537AD5">
        <w:rPr>
          <w:rFonts w:ascii="Times New Roman" w:eastAsiaTheme="majorEastAsia" w:hAnsi="Times New Roman"/>
          <w:sz w:val="24"/>
          <w:szCs w:val="24"/>
          <w:lang w:val="pt-BR"/>
        </w:rPr>
        <w:t xml:space="preserve">, Nxb Giáo dục, Hà Nội, 2005. </w:t>
      </w:r>
    </w:p>
    <w:p w:rsidR="00A30A7F" w:rsidRPr="00537AD5" w:rsidRDefault="00A30A7F" w:rsidP="00A30A7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5. Diệp Quang Ban, </w:t>
      </w:r>
      <w:r w:rsidRPr="00537AD5">
        <w:rPr>
          <w:rFonts w:ascii="Times New Roman" w:eastAsiaTheme="majorEastAsia" w:hAnsi="Times New Roman"/>
          <w:i/>
          <w:sz w:val="24"/>
          <w:szCs w:val="24"/>
          <w:lang w:val="pt-BR"/>
        </w:rPr>
        <w:t>Từ điển thuật ngữ ngôn ngữ học</w:t>
      </w:r>
      <w:r w:rsidRPr="00537AD5">
        <w:rPr>
          <w:rFonts w:ascii="Times New Roman" w:eastAsiaTheme="majorEastAsia" w:hAnsi="Times New Roman"/>
          <w:sz w:val="24"/>
          <w:szCs w:val="24"/>
          <w:lang w:val="pt-BR"/>
        </w:rPr>
        <w:t xml:space="preserve">, Nxb Giáo dục, Hà Nội, 2010. </w:t>
      </w:r>
    </w:p>
    <w:p w:rsidR="00A30A7F" w:rsidRPr="00537AD5" w:rsidRDefault="00A30A7F" w:rsidP="00A30A7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6. Nguyễn Thiện Giáp, </w:t>
      </w:r>
      <w:r w:rsidRPr="00537AD5">
        <w:rPr>
          <w:rFonts w:ascii="Times New Roman" w:eastAsiaTheme="majorEastAsia" w:hAnsi="Times New Roman"/>
          <w:i/>
          <w:sz w:val="24"/>
          <w:szCs w:val="24"/>
          <w:lang w:val="pt-BR"/>
        </w:rPr>
        <w:t>Từ điển khái niệm ngôn ngữ học</w:t>
      </w:r>
      <w:r w:rsidRPr="00537AD5">
        <w:rPr>
          <w:rFonts w:ascii="Times New Roman" w:eastAsiaTheme="majorEastAsia" w:hAnsi="Times New Roman"/>
          <w:sz w:val="24"/>
          <w:szCs w:val="24"/>
          <w:lang w:val="pt-BR"/>
        </w:rPr>
        <w:t xml:space="preserve">, Nxb Đại học Quốc gia Hà Nội, Hà Nội, 2016. </w:t>
      </w:r>
    </w:p>
    <w:p w:rsidR="00A30A7F" w:rsidRPr="00537AD5" w:rsidRDefault="00A30A7F" w:rsidP="00A30A7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7. Nguyễn Văn Lộc (chủ biên), </w:t>
      </w:r>
      <w:r w:rsidRPr="00537AD5">
        <w:rPr>
          <w:rFonts w:ascii="Times New Roman" w:eastAsiaTheme="majorEastAsia" w:hAnsi="Times New Roman"/>
          <w:i/>
          <w:sz w:val="24"/>
          <w:szCs w:val="24"/>
          <w:lang w:val="pt-BR"/>
        </w:rPr>
        <w:t>Ngữ pháp tiếng Việt</w:t>
      </w:r>
      <w:r w:rsidRPr="00537AD5">
        <w:rPr>
          <w:rFonts w:ascii="Times New Roman" w:eastAsiaTheme="majorEastAsia" w:hAnsi="Times New Roman"/>
          <w:sz w:val="24"/>
          <w:szCs w:val="24"/>
          <w:lang w:val="pt-BR"/>
        </w:rPr>
        <w:t xml:space="preserve">, Nxb Giáo dục, Hà Nội, 2017. </w:t>
      </w:r>
    </w:p>
    <w:p w:rsidR="00A30A7F" w:rsidRPr="00537AD5" w:rsidRDefault="00A30A7F" w:rsidP="00A30A7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8. В. Н. Ярцева (Глaвный  рeдaкmoр): </w:t>
      </w:r>
      <w:r w:rsidRPr="00537AD5">
        <w:rPr>
          <w:rFonts w:ascii="Times New Roman" w:eastAsiaTheme="majorEastAsia" w:hAnsi="Times New Roman"/>
          <w:i/>
          <w:sz w:val="24"/>
          <w:szCs w:val="24"/>
          <w:lang w:val="pt-BR"/>
        </w:rPr>
        <w:t>Лингвистичеcкий энциклопедичеcкий словaрь “Cовеmcкaя энциклопедия,</w:t>
      </w:r>
      <w:r w:rsidRPr="00537AD5">
        <w:rPr>
          <w:rFonts w:ascii="Times New Roman" w:eastAsiaTheme="majorEastAsia" w:hAnsi="Times New Roman"/>
          <w:sz w:val="24"/>
          <w:szCs w:val="24"/>
          <w:lang w:val="pt-BR"/>
        </w:rPr>
        <w:t xml:space="preserve"> Москва, 1990.</w:t>
      </w:r>
    </w:p>
    <w:p w:rsidR="00A30A7F" w:rsidRPr="00537AD5" w:rsidRDefault="00A30A7F" w:rsidP="00A30A7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9. В.С, Панфилов, </w:t>
      </w:r>
      <w:r w:rsidRPr="00537AD5">
        <w:rPr>
          <w:rFonts w:ascii="Times New Roman" w:eastAsiaTheme="majorEastAsia" w:hAnsi="Times New Roman"/>
          <w:i/>
          <w:sz w:val="24"/>
          <w:szCs w:val="24"/>
          <w:lang w:val="pt-BR"/>
        </w:rPr>
        <w:t>Грамматичекий строй вьетнамского языка, Сaнкт - Пeттeрбург</w:t>
      </w:r>
      <w:r w:rsidRPr="00537AD5">
        <w:rPr>
          <w:rFonts w:ascii="Times New Roman" w:eastAsiaTheme="majorEastAsia" w:hAnsi="Times New Roman"/>
          <w:sz w:val="24"/>
          <w:szCs w:val="24"/>
          <w:lang w:val="pt-BR"/>
        </w:rPr>
        <w:t>, 1993.</w:t>
      </w:r>
    </w:p>
    <w:p w:rsidR="00A30A7F" w:rsidRDefault="00A30A7F" w:rsidP="00A30A7F">
      <w:pPr>
        <w:pStyle w:val="Heading1"/>
        <w:spacing w:before="120" w:after="120" w:line="360" w:lineRule="auto"/>
        <w:jc w:val="both"/>
        <w:rPr>
          <w:rFonts w:ascii="Times New Roman" w:hAnsi="Times New Roman" w:cs="Times New Roman"/>
          <w:color w:val="auto"/>
          <w:sz w:val="24"/>
          <w:szCs w:val="24"/>
          <w:lang w:val="pt-BR"/>
        </w:rPr>
      </w:pPr>
    </w:p>
    <w:p w:rsidR="0074324B" w:rsidRPr="00A30A7F" w:rsidRDefault="00A30A7F" w:rsidP="00A30A7F">
      <w:pPr>
        <w:rPr>
          <w:lang w:val="pt-BR"/>
        </w:rPr>
      </w:pPr>
      <w:r>
        <w:rPr>
          <w:sz w:val="24"/>
          <w:szCs w:val="24"/>
          <w:lang w:val="pt-BR"/>
        </w:rPr>
        <w:br w:type="column"/>
      </w:r>
      <w:bookmarkStart w:id="0" w:name="_GoBack"/>
      <w:bookmarkEnd w:id="0"/>
    </w:p>
    <w:sectPr w:rsidR="0074324B" w:rsidRPr="00A30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FD"/>
    <w:rsid w:val="005A6D57"/>
    <w:rsid w:val="007D3409"/>
    <w:rsid w:val="007F2DFD"/>
    <w:rsid w:val="00A30A7F"/>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724A6-3F99-4CFB-973B-22A34C1E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A7F"/>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A30A7F"/>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A30A7F"/>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A30A7F"/>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A30A7F"/>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2025-12-13T03:09:00Z</dcterms:created>
  <dcterms:modified xsi:type="dcterms:W3CDTF">2025-12-13T03:09:00Z</dcterms:modified>
</cp:coreProperties>
</file>